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62" w:rsidRDefault="00D92E35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E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F4E6C" wp14:editId="18308B6F">
            <wp:extent cx="1514475" cy="1514475"/>
            <wp:effectExtent l="0" t="0" r="9525" b="9525"/>
            <wp:docPr id="3" name="Рисунок 3" descr="E:\Мои документы 2013 липень\Правоохоронна діяльність\Логотоп кафедрі Шерлок\Шерлок тон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Мои документы 2013 липень\Правоохоронна діяльність\Логотоп кафедрі Шерлок\Шерлок тон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2" w:rsidRDefault="00C45362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E84" w:rsidRDefault="00CC58D4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92E35" w:rsidRPr="00D92E35">
        <w:rPr>
          <w:rFonts w:ascii="Times New Roman" w:hAnsi="Times New Roman" w:cs="Times New Roman"/>
          <w:b/>
          <w:sz w:val="28"/>
          <w:szCs w:val="28"/>
        </w:rPr>
        <w:t>ИЛАБУС</w:t>
      </w:r>
      <w:r w:rsidR="00C4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45" w:rsidRPr="00D92E35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170039" w:rsidRDefault="0017003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35" w:rsidRPr="00C62495" w:rsidRDefault="00A01F15" w:rsidP="00090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СУДОВА ЕКСПЕРТИЗА</w:t>
      </w:r>
    </w:p>
    <w:p w:rsidR="00C62495" w:rsidRPr="00D92E35" w:rsidRDefault="00C62495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620" w:rsidRPr="00D92E35" w:rsidRDefault="00B13620" w:rsidP="00D92E3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3620" w:rsidRPr="00D92E35" w:rsidSect="00B1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6" w:right="850" w:bottom="1134" w:left="1701" w:header="708" w:footer="708" w:gutter="0"/>
          <w:cols w:num="2" w:space="708"/>
          <w:docGrid w:linePitch="360"/>
        </w:sectPr>
      </w:pPr>
    </w:p>
    <w:p w:rsidR="001557F8" w:rsidRDefault="001557F8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  <w:r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та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семестр</w:t>
            </w:r>
            <w:r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5954" w:type="dxa"/>
          </w:tcPr>
          <w:p w:rsidR="00C45362" w:rsidRPr="00C45362" w:rsidRDefault="00A01F15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курс, </w:t>
            </w:r>
            <w:r>
              <w:rPr>
                <w:sz w:val="24"/>
                <w:szCs w:val="24"/>
                <w:lang w:val="uk-UA"/>
              </w:rPr>
              <w:t>6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семестр навчання;</w:t>
            </w:r>
          </w:p>
          <w:p w:rsidR="00C45362" w:rsidRPr="00C45362" w:rsidRDefault="00C45362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C45362">
              <w:rPr>
                <w:sz w:val="24"/>
                <w:szCs w:val="24"/>
                <w:lang w:val="uk-UA"/>
              </w:rPr>
              <w:t>спеціальність 262 Правоохоронна діяльність (освітня програма «Правоохоронна діяльність</w:t>
            </w:r>
            <w:r w:rsidRPr="00C45362">
              <w:rPr>
                <w:bCs/>
                <w:sz w:val="24"/>
                <w:szCs w:val="24"/>
                <w:lang w:val="uk-UA"/>
              </w:rPr>
              <w:t>»</w:t>
            </w:r>
            <w:r w:rsidRPr="00C45362">
              <w:rPr>
                <w:sz w:val="24"/>
                <w:szCs w:val="24"/>
                <w:lang w:val="uk-UA"/>
              </w:rPr>
              <w:t>)</w:t>
            </w:r>
          </w:p>
        </w:tc>
      </w:tr>
      <w:tr w:rsidR="00FF404A" w:rsidTr="00C45362">
        <w:tc>
          <w:tcPr>
            <w:tcW w:w="3510" w:type="dxa"/>
          </w:tcPr>
          <w:p w:rsidR="00FF404A" w:rsidRPr="00FF404A" w:rsidRDefault="00FF404A" w:rsidP="00FF404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954" w:type="dxa"/>
          </w:tcPr>
          <w:p w:rsidR="00FF404A" w:rsidRPr="00FF404A" w:rsidRDefault="00FF404A" w:rsidP="00FF40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Черненок</w:t>
            </w:r>
            <w:proofErr w:type="spellEnd"/>
            <w:r w:rsidRPr="00FF404A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Петрович, </w:t>
            </w:r>
            <w:proofErr w:type="spellStart"/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кафедри правоохоронної діяльності та загальноправових дисциплін</w:t>
            </w:r>
          </w:p>
        </w:tc>
      </w:tr>
      <w:bookmarkEnd w:id="0"/>
      <w:tr w:rsidR="00FF404A" w:rsidTr="00C45362">
        <w:tc>
          <w:tcPr>
            <w:tcW w:w="3510" w:type="dxa"/>
          </w:tcPr>
          <w:p w:rsidR="00FF404A" w:rsidRPr="00FF404A" w:rsidRDefault="00FF404A" w:rsidP="00FF404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 (-</w:t>
            </w:r>
            <w:proofErr w:type="spellStart"/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FF404A" w:rsidRPr="00FF404A" w:rsidRDefault="00FF404A" w:rsidP="00FF40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FF404A">
                <w:rPr>
                  <w:rStyle w:val="ab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https://tidp.stu.cn.ua/chernenok-maksym-petrovych/</w:t>
              </w:r>
            </w:hyperlink>
            <w:r w:rsidRPr="00FF4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404A" w:rsidTr="00C45362">
        <w:tc>
          <w:tcPr>
            <w:tcW w:w="3510" w:type="dxa"/>
          </w:tcPr>
          <w:p w:rsidR="00FF404A" w:rsidRPr="00FF404A" w:rsidRDefault="00FF404A" w:rsidP="00FF40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0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5954" w:type="dxa"/>
          </w:tcPr>
          <w:p w:rsidR="00FF404A" w:rsidRPr="00FF404A" w:rsidRDefault="00FF404A" w:rsidP="00FF40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F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F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F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954" w:type="dxa"/>
          </w:tcPr>
          <w:p w:rsidR="0009023A" w:rsidRPr="00A01F15" w:rsidRDefault="00F308D9" w:rsidP="00A01F1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eln</w:t>
              </w:r>
              <w:proofErr w:type="spellEnd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stu</w:t>
              </w:r>
              <w:proofErr w:type="spellEnd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cn</w:t>
              </w:r>
              <w:proofErr w:type="spellEnd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1F15" w:rsidRPr="00A01F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=4379</w:t>
              </w:r>
            </w:hyperlink>
          </w:p>
        </w:tc>
      </w:tr>
    </w:tbl>
    <w:p w:rsidR="00C45362" w:rsidRDefault="00C45362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 Анотація курсу </w:t>
      </w:r>
    </w:p>
    <w:p w:rsidR="00A01F15" w:rsidRPr="00A01F15" w:rsidRDefault="00A01F15" w:rsidP="00A01F15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A01F15">
        <w:rPr>
          <w:sz w:val="28"/>
          <w:szCs w:val="28"/>
        </w:rPr>
        <w:t xml:space="preserve">Навчальна дисципліна «Судова експертиза» </w:t>
      </w:r>
      <w:r w:rsidRPr="00A01F15">
        <w:rPr>
          <w:color w:val="000000"/>
          <w:sz w:val="28"/>
          <w:szCs w:val="28"/>
        </w:rPr>
        <w:t>дає уявлення про предмет судової експертизи, її об’єкти та завдання, про поняття спеціальних знань експерта і суб’єктів експертної діяльності; розкриває загальні принципи і постулати, характерні для судової експертизи будь-якого роду; технологію експертного дослідження як особливого виду пізнавальної діяльності; методологію експертних досліджень в цілому і концептуальні напрями розвитку судової експертизи (математизація, комп’ютеризація, автоматизація експертних досліджень), а також розглядає деякі види експертиз, які проводяться у кримінальних провадженнях, цивільних, адміністративних та господарських справах.</w:t>
      </w:r>
    </w:p>
    <w:p w:rsidR="0009023A" w:rsidRPr="00A01F15" w:rsidRDefault="0009023A" w:rsidP="00A01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навчальної дисципліни складається з таких тем</w:t>
      </w:r>
      <w:r w:rsidRPr="00A01F15">
        <w:rPr>
          <w:rFonts w:ascii="Times New Roman" w:hAnsi="Times New Roman" w:cs="Times New Roman"/>
          <w:sz w:val="28"/>
          <w:szCs w:val="28"/>
        </w:rPr>
        <w:t xml:space="preserve">: </w:t>
      </w:r>
      <w:r w:rsidR="00A01F15" w:rsidRPr="00A01F15">
        <w:rPr>
          <w:rFonts w:ascii="Times New Roman" w:hAnsi="Times New Roman" w:cs="Times New Roman"/>
          <w:bCs/>
          <w:color w:val="000000"/>
          <w:sz w:val="28"/>
          <w:szCs w:val="28"/>
        </w:rPr>
        <w:t>Тема 1. Наукові, правові та організаційні основи судової експертизи в Україні Тема 2. Процесуальні і методичні засади проведення судових експертиз</w:t>
      </w:r>
      <w:r w:rsidR="00A01F15" w:rsidRPr="00A01F1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Тема 3. Судові експертизи документів</w:t>
      </w:r>
      <w:r w:rsidR="00A01F15" w:rsidRPr="00A01F15">
        <w:rPr>
          <w:rFonts w:ascii="Times New Roman" w:hAnsi="Times New Roman" w:cs="Times New Roman"/>
          <w:sz w:val="28"/>
          <w:szCs w:val="28"/>
        </w:rPr>
        <w:t xml:space="preserve"> </w:t>
      </w:r>
      <w:r w:rsidR="00A01F15" w:rsidRPr="00A01F15">
        <w:rPr>
          <w:rFonts w:ascii="Times New Roman" w:hAnsi="Times New Roman" w:cs="Times New Roman"/>
          <w:bCs/>
          <w:sz w:val="28"/>
          <w:szCs w:val="28"/>
          <w:lang w:eastAsia="uk-UA"/>
        </w:rPr>
        <w:t>Тема 4. Криміналістичні експертизи відображень і приладів фіксації інформації</w:t>
      </w:r>
      <w:r w:rsidR="00A01F15" w:rsidRPr="00A01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 5. Технічні судові експертизи</w:t>
      </w:r>
      <w:r w:rsidR="00A01F15" w:rsidRPr="00A01F15">
        <w:rPr>
          <w:rFonts w:ascii="Times New Roman" w:hAnsi="Times New Roman" w:cs="Times New Roman"/>
          <w:bCs/>
          <w:sz w:val="28"/>
          <w:szCs w:val="28"/>
        </w:rPr>
        <w:t xml:space="preserve"> Тема 6. Експертизи матеріалів, речовин і виробів Тема 7. Судово-біологічна та судово-</w:t>
      </w:r>
      <w:proofErr w:type="spellStart"/>
      <w:r w:rsidR="00A01F15" w:rsidRPr="00A01F15">
        <w:rPr>
          <w:rFonts w:ascii="Times New Roman" w:hAnsi="Times New Roman" w:cs="Times New Roman"/>
          <w:bCs/>
          <w:sz w:val="28"/>
          <w:szCs w:val="28"/>
        </w:rPr>
        <w:t>грунтознавча</w:t>
      </w:r>
      <w:proofErr w:type="spellEnd"/>
      <w:r w:rsidR="00A01F15" w:rsidRPr="00A01F15">
        <w:rPr>
          <w:rFonts w:ascii="Times New Roman" w:hAnsi="Times New Roman" w:cs="Times New Roman"/>
          <w:bCs/>
          <w:sz w:val="28"/>
          <w:szCs w:val="28"/>
        </w:rPr>
        <w:t xml:space="preserve"> експертизи</w:t>
      </w:r>
      <w:r w:rsidR="00A01F15" w:rsidRPr="00A01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 8. Експертизи, пов’язані з визначенням особливостей життєдіяльності людини Тема 9. Судово-економічні експертизи Тема 10. Висновки експертів, правила їх оцінки суб’єктами доказування</w:t>
      </w:r>
    </w:p>
    <w:p w:rsidR="00A01F15" w:rsidRDefault="00A01F15" w:rsidP="0009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9023A" w:rsidRPr="0009023A" w:rsidRDefault="0009023A" w:rsidP="0009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2. Мета і цілі курсу</w:t>
      </w:r>
    </w:p>
    <w:p w:rsidR="00A01F15" w:rsidRPr="00A01F15" w:rsidRDefault="00A01F15" w:rsidP="00A01F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bCs/>
          <w:sz w:val="28"/>
          <w:szCs w:val="28"/>
        </w:rPr>
        <w:t>Метою</w:t>
      </w:r>
      <w:r w:rsidRPr="00A01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F15">
        <w:rPr>
          <w:rFonts w:ascii="Times New Roman" w:hAnsi="Times New Roman" w:cs="Times New Roman"/>
          <w:sz w:val="28"/>
          <w:szCs w:val="28"/>
        </w:rPr>
        <w:t xml:space="preserve">даного курсу є формування у студентів системи теоретичних знань і практичних умінь щодо </w:t>
      </w:r>
      <w:r w:rsidRPr="00A01F15">
        <w:rPr>
          <w:rFonts w:ascii="Times New Roman" w:hAnsi="Times New Roman" w:cs="Times New Roman"/>
          <w:sz w:val="28"/>
          <w:szCs w:val="28"/>
          <w:lang w:eastAsia="uk-UA"/>
        </w:rPr>
        <w:t>використання спеціальних знань у кримінальному, цивільному, господарському, адміністративному процесі; системи, устрою та функціонування судово-експертних установ в Україні; щодо призначення, проведення та використання результатів судових експертиз та сучасні можливості різноманітних видів судових експертиз.</w:t>
      </w:r>
    </w:p>
    <w:p w:rsidR="00A01F15" w:rsidRPr="00A01F15" w:rsidRDefault="00A01F15" w:rsidP="00A01F15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 xml:space="preserve">Під час вивчення дисципліни здобувачі вищої освіти мають набути або розширити такі загальні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(ЗК) </w:t>
      </w:r>
      <w:r w:rsidRPr="00A01F15">
        <w:rPr>
          <w:rFonts w:ascii="Times New Roman" w:hAnsi="Times New Roman" w:cs="Times New Roman"/>
          <w:color w:val="000000"/>
          <w:sz w:val="28"/>
          <w:szCs w:val="28"/>
        </w:rPr>
        <w:t>та спеціальні (СК) компетентності, передбачені освітньою програмою:</w:t>
      </w:r>
    </w:p>
    <w:p w:rsidR="00A01F15" w:rsidRPr="00A01F15" w:rsidRDefault="00A01F15" w:rsidP="00A01F15">
      <w:pPr>
        <w:pStyle w:val="TableParagraph"/>
        <w:ind w:firstLine="704"/>
        <w:jc w:val="both"/>
        <w:rPr>
          <w:sz w:val="28"/>
          <w:szCs w:val="28"/>
          <w:lang w:val="uk-UA"/>
        </w:rPr>
      </w:pPr>
      <w:r w:rsidRPr="00A01F15">
        <w:rPr>
          <w:sz w:val="28"/>
          <w:szCs w:val="28"/>
          <w:lang w:val="uk-UA"/>
        </w:rPr>
        <w:t xml:space="preserve">ЗК 5. Здатність вчитися і оволодівати сучасними знаннями. </w:t>
      </w:r>
    </w:p>
    <w:p w:rsidR="00A01F15" w:rsidRPr="00A01F15" w:rsidRDefault="00A01F15" w:rsidP="00A01F15">
      <w:pPr>
        <w:pStyle w:val="TableParagraph"/>
        <w:ind w:firstLine="704"/>
        <w:jc w:val="both"/>
        <w:rPr>
          <w:sz w:val="28"/>
          <w:szCs w:val="28"/>
          <w:lang w:val="uk-UA"/>
        </w:rPr>
      </w:pPr>
      <w:r w:rsidRPr="00A01F15">
        <w:rPr>
          <w:sz w:val="28"/>
          <w:szCs w:val="28"/>
          <w:lang w:val="uk-UA"/>
        </w:rPr>
        <w:t>ЗК 8. Здатність приймати обґрунтовані рішення</w:t>
      </w:r>
    </w:p>
    <w:p w:rsidR="00A01F15" w:rsidRPr="00A01F15" w:rsidRDefault="00A01F15" w:rsidP="00A01F15">
      <w:pPr>
        <w:pStyle w:val="TableParagraph"/>
        <w:ind w:firstLine="704"/>
        <w:jc w:val="both"/>
        <w:rPr>
          <w:sz w:val="28"/>
          <w:szCs w:val="28"/>
          <w:lang w:val="uk-UA"/>
        </w:rPr>
      </w:pPr>
      <w:r w:rsidRPr="00A01F15">
        <w:rPr>
          <w:sz w:val="28"/>
          <w:szCs w:val="28"/>
          <w:lang w:val="uk-UA"/>
        </w:rPr>
        <w:t>СК 6. Здатність аналізувати та систематизувати одержані результати, формулювати аргументовані висновки та рекомендації</w:t>
      </w:r>
    </w:p>
    <w:p w:rsidR="00A01F15" w:rsidRPr="00A01F15" w:rsidRDefault="00A01F15" w:rsidP="00A01F15">
      <w:pPr>
        <w:pStyle w:val="TableParagraph"/>
        <w:ind w:firstLine="704"/>
        <w:jc w:val="both"/>
        <w:rPr>
          <w:sz w:val="28"/>
          <w:szCs w:val="28"/>
          <w:lang w:val="uk-UA"/>
        </w:rPr>
      </w:pPr>
      <w:r w:rsidRPr="00A01F15">
        <w:rPr>
          <w:sz w:val="28"/>
          <w:szCs w:val="28"/>
          <w:lang w:val="uk-UA"/>
        </w:rPr>
        <w:t>СК 10. Здатність визначати належні та придатні для юридичного аналізу факти</w:t>
      </w:r>
    </w:p>
    <w:p w:rsidR="00A01F15" w:rsidRPr="00A01F15" w:rsidRDefault="00A01F15" w:rsidP="00A01F15">
      <w:pPr>
        <w:pStyle w:val="TableParagraph"/>
        <w:jc w:val="both"/>
        <w:rPr>
          <w:b/>
          <w:sz w:val="26"/>
          <w:szCs w:val="26"/>
          <w:lang w:val="ru-RU"/>
        </w:rPr>
      </w:pPr>
    </w:p>
    <w:p w:rsidR="00A01F15" w:rsidRPr="00A01F15" w:rsidRDefault="00A01F15" w:rsidP="00A01F1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Завдання, які вирішуються в процесі вивчення дисципліни: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1F15">
        <w:rPr>
          <w:rFonts w:ascii="Times New Roman" w:hAnsi="Times New Roman" w:cs="Times New Roman"/>
          <w:noProof/>
          <w:sz w:val="28"/>
          <w:szCs w:val="28"/>
        </w:rPr>
        <w:t xml:space="preserve">- систематизація отриманих теоретичних знань з питань використання спеціальних знань у різних видах судочинства шляхом поглибленого </w:t>
      </w:r>
      <w:r w:rsidRPr="00A01F15">
        <w:rPr>
          <w:rFonts w:ascii="Times New Roman" w:hAnsi="Times New Roman" w:cs="Times New Roman"/>
          <w:sz w:val="28"/>
          <w:szCs w:val="28"/>
        </w:rPr>
        <w:t>оволодіння необхідними теоретичними положеннями, що регулюють порядок призначення різних видів судових експертиз та напрямів використання технічної та консультативної допомоги спеціаліста</w:t>
      </w:r>
      <w:r w:rsidRPr="00A01F15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A01F15" w:rsidRPr="00A01F15" w:rsidRDefault="00A01F15" w:rsidP="00A01F1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1F15">
        <w:rPr>
          <w:rFonts w:ascii="Times New Roman" w:hAnsi="Times New Roman" w:cs="Times New Roman"/>
          <w:sz w:val="28"/>
          <w:szCs w:val="28"/>
          <w:lang w:eastAsia="uk-UA"/>
        </w:rPr>
        <w:t xml:space="preserve">- ознайомлення студентів із сутністю судової експертизи як галузі наукового знання й практичної діяльності, особливостями правового регулювання призначення судових експертиз, їх класифікацією, оцінкою висновку експерта як судового доказу. 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15">
        <w:rPr>
          <w:rFonts w:ascii="Times New Roman" w:hAnsi="Times New Roman" w:cs="Times New Roman"/>
          <w:sz w:val="28"/>
          <w:szCs w:val="28"/>
        </w:rPr>
        <w:t xml:space="preserve">- вивчення матеріалів судової практики з питань призначення судових експертиз та оцінки висновку експерта процесуальними особами; 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>- закріплення навичок з дослідження об'єктів різних видів судових експертиз, методів, засобів і методик рішення завдань судових експертиз, проведених у межах правової регламентації і в тих організаційних формах, які забезпечують доказування у кримінальному провадженні або у цивільній, адміністративній чи господарській справі, значення висновків судових експертиз.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Очікувані результати навчання </w:t>
      </w:r>
    </w:p>
    <w:p w:rsidR="00A01F15" w:rsidRPr="00A01F15" w:rsidRDefault="00A01F15" w:rsidP="00A01F15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>Під час вивчення дисципліни ЗВО має досягти або вдосконалити наступні програмні результати навчання (РН), передбачені освітньою програмою: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 xml:space="preserve">РН 3. Збирати необхідну інформацію з різних джерел, аналізувати і оцінювати її. 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 xml:space="preserve">РН 4. Формулювати і перевіряти гіпотези, аргументувати висновки. 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РН 8. Здійснювати пошук інформації у доступних джерелах для повного та всебічного встановлення необхідних обставин.</w:t>
      </w:r>
    </w:p>
    <w:p w:rsidR="00A01F15" w:rsidRPr="00A01F15" w:rsidRDefault="00A01F15" w:rsidP="00A0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lastRenderedPageBreak/>
        <w:t>РН 10. Виокремлювати юридично значущі факти і формувати обґрунтовані правові висновки</w:t>
      </w:r>
    </w:p>
    <w:p w:rsidR="00A01F15" w:rsidRPr="00A01F15" w:rsidRDefault="00A01F15" w:rsidP="00A01F15">
      <w:pPr>
        <w:pStyle w:val="Body1"/>
        <w:tabs>
          <w:tab w:val="left" w:pos="993"/>
        </w:tabs>
        <w:ind w:firstLine="540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A01F15" w:rsidRPr="00A01F15" w:rsidRDefault="00A01F15" w:rsidP="00A01F1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здобувачі вищої освіти повинні </w:t>
      </w:r>
      <w:r w:rsidRPr="00A01F15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історичні та методологічні аспекти теорії судової експертизи;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основні теоретичні відомості про предмет, об’єкт та методику судової експертизи;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правові, організаційні, етичні, психологічні основи призначення та проведення судових експертиз;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процесуальні права та обов’язки експерта;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класифікацію судових експертиз;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систему, структуру, функції та завдання експертно-криміналістичних установ України;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гносеологічні та методологічні основи експертно-криміналістичних досліджень;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поняття, види методик експертного дослідження;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алгоритмічні приписи щодо складання висновків експерта;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поняття та основні причини помилок експерта;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сучасну науково-довідкову літературу з проблем теорії судової експертизи;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моделі сучасного етикету експерта-криміналіста;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основні форми взаємодії експерта, слідчого та судді при проведенні експертного дослідження;</w:t>
      </w:r>
    </w:p>
    <w:p w:rsidR="00A01F15" w:rsidRPr="00A01F15" w:rsidRDefault="00A01F15" w:rsidP="00A01F1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1F15">
        <w:rPr>
          <w:rFonts w:ascii="Times New Roman" w:hAnsi="Times New Roman" w:cs="Times New Roman"/>
          <w:sz w:val="28"/>
          <w:szCs w:val="28"/>
        </w:rPr>
        <w:t>особливості оцінки слідчим та судом висновку експерта;</w:t>
      </w:r>
    </w:p>
    <w:p w:rsidR="00A01F15" w:rsidRPr="00A01F15" w:rsidRDefault="00A01F15" w:rsidP="00A01F15">
      <w:pPr>
        <w:pStyle w:val="Default"/>
        <w:ind w:firstLine="709"/>
        <w:jc w:val="both"/>
        <w:rPr>
          <w:b/>
          <w:bCs/>
          <w:sz w:val="28"/>
          <w:szCs w:val="28"/>
          <w:highlight w:val="yellow"/>
          <w:lang w:val="uk-UA"/>
        </w:rPr>
      </w:pPr>
    </w:p>
    <w:p w:rsidR="00A01F15" w:rsidRPr="00A01F15" w:rsidRDefault="00A01F15" w:rsidP="00A01F1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01F15">
        <w:rPr>
          <w:b/>
          <w:bCs/>
          <w:sz w:val="28"/>
          <w:szCs w:val="28"/>
        </w:rPr>
        <w:t>вміти</w:t>
      </w:r>
      <w:proofErr w:type="spellEnd"/>
      <w:r w:rsidRPr="00A01F15">
        <w:rPr>
          <w:b/>
          <w:bCs/>
          <w:sz w:val="28"/>
          <w:szCs w:val="28"/>
        </w:rPr>
        <w:t xml:space="preserve">: </w:t>
      </w:r>
    </w:p>
    <w:p w:rsidR="00A01F15" w:rsidRPr="00A01F15" w:rsidRDefault="00A01F15" w:rsidP="00A01F15">
      <w:pPr>
        <w:tabs>
          <w:tab w:val="left" w:pos="142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>- приймати обґрунтовані процесуальні рішення при залученні експертів в кримінальному, господарському, цивільному та адміністративному процесах;</w:t>
      </w:r>
    </w:p>
    <w:p w:rsidR="00A01F15" w:rsidRPr="00A01F15" w:rsidRDefault="00A01F15" w:rsidP="00A01F15">
      <w:pPr>
        <w:spacing w:after="0" w:line="240" w:lineRule="auto"/>
        <w:ind w:firstLine="550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>- оцінювати компетенцію і компетентність судового експерта;</w:t>
      </w:r>
    </w:p>
    <w:p w:rsidR="00A01F15" w:rsidRPr="00A01F15" w:rsidRDefault="00A01F15" w:rsidP="00A01F15">
      <w:pPr>
        <w:tabs>
          <w:tab w:val="left" w:pos="142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15">
        <w:rPr>
          <w:rFonts w:ascii="Times New Roman" w:hAnsi="Times New Roman" w:cs="Times New Roman"/>
          <w:color w:val="000000"/>
          <w:sz w:val="28"/>
          <w:szCs w:val="28"/>
        </w:rPr>
        <w:t>- залучати експертів та оцінювати доказове значення їх висновків.</w:t>
      </w:r>
    </w:p>
    <w:p w:rsidR="00A01F15" w:rsidRPr="00A01F15" w:rsidRDefault="00A01F15" w:rsidP="00A01F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62495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 Обсяг курсу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C45362" w:rsidTr="00C45362">
        <w:tc>
          <w:tcPr>
            <w:tcW w:w="4819" w:type="dxa"/>
            <w:vAlign w:val="center"/>
          </w:tcPr>
          <w:p w:rsidR="00C45362" w:rsidRPr="00C62495" w:rsidRDefault="00C45362" w:rsidP="00C8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4395" w:type="dxa"/>
          </w:tcPr>
          <w:p w:rsidR="00C45362" w:rsidRDefault="00C45362" w:rsidP="00C6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к-сть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395" w:type="dxa"/>
          </w:tcPr>
          <w:p w:rsidR="00C45362" w:rsidRPr="00C62495" w:rsidRDefault="00630424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4395" w:type="dxa"/>
          </w:tcPr>
          <w:p w:rsidR="00C45362" w:rsidRPr="00C62495" w:rsidRDefault="00630424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395" w:type="dxa"/>
          </w:tcPr>
          <w:p w:rsidR="00C45362" w:rsidRPr="00C62495" w:rsidRDefault="00400B7C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</w:tbl>
    <w:p w:rsidR="00C45362" w:rsidRPr="00C45362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</w:t>
      </w:r>
      <w:proofErr w:type="spellStart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Пререквізити</w:t>
      </w:r>
      <w:proofErr w:type="spellEnd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</w:p>
    <w:p w:rsidR="00C62495" w:rsidRDefault="00C62495" w:rsidP="00400B7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Передумови для вивчення дисципліни є вивчення навчальн</w:t>
      </w:r>
      <w:r w:rsidR="00400B7C">
        <w:rPr>
          <w:rFonts w:ascii="Times New Roman" w:hAnsi="Times New Roman" w:cs="Times New Roman"/>
          <w:sz w:val="28"/>
          <w:szCs w:val="28"/>
        </w:rPr>
        <w:t>их дисциплін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="00400B7C" w:rsidRPr="00400B7C">
        <w:rPr>
          <w:rFonts w:ascii="Times New Roman" w:hAnsi="Times New Roman" w:cs="Times New Roman"/>
          <w:sz w:val="28"/>
          <w:szCs w:val="28"/>
        </w:rPr>
        <w:t>«Кримінальний процес» та «Криміналістика»</w:t>
      </w:r>
    </w:p>
    <w:p w:rsidR="00400B7C" w:rsidRPr="00400B7C" w:rsidRDefault="00400B7C" w:rsidP="00400B7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6. Система оцінювання та вимоги.</w:t>
      </w:r>
    </w:p>
    <w:p w:rsidR="00400B7C" w:rsidRDefault="00400B7C" w:rsidP="0063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B7C" w:rsidRDefault="00400B7C" w:rsidP="0063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4"/>
        <w:gridCol w:w="6790"/>
      </w:tblGrid>
      <w:tr w:rsidR="00400B7C" w:rsidRPr="00400B7C" w:rsidTr="00A11772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Загальна система оцінювання курсу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оцінювання знань студентів включає </w:t>
            </w:r>
            <w:r w:rsidRPr="00400B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поточний, проміжний та семестровий контроль 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знань з дисципліни. Оцінювання здійснюється за 100-бальною шкалою з подальшим переведенням у національну шкалу та шкалу ECTS.</w:t>
            </w:r>
          </w:p>
          <w:p w:rsidR="00400B7C" w:rsidRPr="00400B7C" w:rsidRDefault="00400B7C" w:rsidP="00400B7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Поточний контроль здійснюється протягом семестру під час проведення лекційних та семінарських занять, виконання індивідуальних завдань і оцінюється сумою набраних балів. Поточний контроль реалізується у формі опитування, виступів на семінарських заняттях, перевірки результатів виконання індивідуальних завдань, контролю засвоєння навчального матеріалу, запланованого на самостійне опрацювання студентами.</w:t>
            </w:r>
          </w:p>
          <w:p w:rsidR="00400B7C" w:rsidRPr="00400B7C" w:rsidRDefault="00400B7C" w:rsidP="00400B7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7C">
              <w:rPr>
                <w:rFonts w:ascii="Times New Roman" w:hAnsi="Times New Roman" w:cs="Times New Roman"/>
                <w:iCs/>
                <w:sz w:val="28"/>
                <w:szCs w:val="28"/>
              </w:rPr>
              <w:t>Проміжний контроль</w:t>
            </w:r>
            <w:r w:rsidRPr="00400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має на меті оцінку результатів знань студента після вивчення матеріалу з кожного змістовного модуля дисципліни. Цей вид контролю проводиться у формі тестування і оцінюється відповідною сумою балів.</w:t>
            </w:r>
          </w:p>
          <w:p w:rsidR="00400B7C" w:rsidRPr="00400B7C" w:rsidRDefault="00400B7C" w:rsidP="00400B7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Семестровий контроль</w:t>
            </w:r>
            <w:r w:rsidRPr="00400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проводиться у формі екзамену з урахуванням результатів поточного та проміжного контролю знань, і оцінюється за національною шкалою та шкалою ECTS.</w:t>
            </w:r>
          </w:p>
        </w:tc>
      </w:tr>
      <w:tr w:rsidR="00400B7C" w:rsidRPr="00400B7C" w:rsidTr="00A11772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Вимоги до індивідуальних завдань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При оцінюванні результатів виконання індивідуальних завдань використовується диференційований підхід, в основу якого покладено виокремлення різних форм індивідуальної роботи студентів. Індивідуальна робота студента здійснюється шляхом виконання одного або декількох видів індивідуальних науково-дослідних або творчих завдань (за умови, що загальна кількість балів за виконані види завдань не перевищує </w:t>
            </w:r>
            <w:r w:rsidR="00A11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), які обираються студентом з урахуванням його творчих можливостей, навчальних здобутків і наукових інтересів за погодженням з викладачем.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Тема завдання має бути розкрита на належному рівні. Робота повинна мати творчий характер, продемонструвати аналітичні навички студента, його вміння працювати з бібліографією тощо. Особлива увага звертається на оформлення науково-довідникового матеріалу, цитат та посилань на джерела.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Кількість балів, які отримують студенти залежно від виду індивідуальної роботи: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балів: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публікація тез наукових доповідей у матеріалах наукових конференцій або  статті в науковому виданні в межах тематики програми навчальної дисципліни;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виступ на студентській або іншій науковій конференції, круглому столі з науковою доповіддю (повідомленням) у межах тематики навчальної дисципліни;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- участь у науковому гуртку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(підготовка під керівництвом наукового керівника і виступ з науковою доповіддю на засіданні наукового гуртка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підготовка студентської наукової роботи в межах тематики програми навчальної дисципліни для участі у конкурсі студентських наукових робіт;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до 5 балів: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виконання індивідуальної науково-дослідної роботи;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до 4 балів: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підготовка і написання реферату за однією з рекомендованих тем;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створення тестів або презентації за заданою викладачем темою курсу;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до 3 балів: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складання бібліографічних списків (переліку літератури) за заданою викладачем темою.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підготовка невеликої (не більше 5-ти хв.) наукової доповіді в межах тематики програми навчальної дисципліни, її презентація на семінарському занятті в рамках вивчення поточної теми;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анотування або аналіз наукової та навчально-методичної літератури з дисципліни «Судова експертиза».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до 2 балів: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- відвідування наукових, науково-практичних конференцій, круглих столів та інших заходів, пов’язаних з навчальною дисципліною</w:t>
            </w:r>
          </w:p>
        </w:tc>
      </w:tr>
      <w:tr w:rsidR="00400B7C" w:rsidRPr="00400B7C" w:rsidTr="00A11772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Семінарські заняття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Робота  на семінарському занятті оцінюється за такими критеріями: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0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бали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у повному обсязі опрацював програмний матеріал (нормативно-правові акти, базову і додаткову літературу), має глибокі й міцні знання, упевнено оперує набутими знаннями, робить </w:t>
            </w:r>
            <w:proofErr w:type="spellStart"/>
            <w:r w:rsidRPr="00400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обгрунтовані</w:t>
            </w:r>
            <w:proofErr w:type="spellEnd"/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висновки, може вільно висловлювати власні судження і переконливо їх аргументувати, може аналізувати нормативно-праві акти, здатний презентувати власне розуміння, оцінку питань судової експертизи..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Pr="0040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бали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вільно володіє навчальним матеріалом (опрацював базову і деяку частину додаткової літератури і нормативно-правових актів), аналізує  інформацію і формулює нескладні висновки, обґрунтовує свої висновки; може дати визначення понять, самостійно встановлює причинно-наслідкові зв’язки; може узагальнювати та застосовувати набуті знання.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бали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загалом самостійно відтворює програмний матеріал (на рівні підручника), може дати стислу характеристику питання, загалом правильно розуміє спеціальні терміни, але у викладеному матеріалі є істотні прогалини, виклад не самостійний (переказ підручника), є певні неточності як у матеріалі, так і у висновках, аргументація слабка. 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Pr="0040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за допомогою викладача намагається відтворити матеріал, але відповідь неповна, в ній налічується багато неточностей, головний зміст матеріалу не розкрито.</w:t>
            </w:r>
          </w:p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b/>
                <w:sz w:val="28"/>
                <w:szCs w:val="28"/>
              </w:rPr>
              <w:t>0 балів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не готовий до семінарського заняття або має лише приблизне уявлення про питання, що розглядається на занятті, може сказати два-три речення по суті питання, назвати деякі терміни, але не може їх пояснити, головний зміст матеріалу не розкрито.</w:t>
            </w:r>
          </w:p>
        </w:tc>
      </w:tr>
      <w:tr w:rsidR="00400B7C" w:rsidRPr="00400B7C" w:rsidTr="00A11772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Умови допуску до підсумкового контролю</w:t>
            </w:r>
            <w:bookmarkStart w:id="1" w:name="_gjdgxs"/>
            <w:bookmarkEnd w:id="1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7C" w:rsidRPr="00400B7C" w:rsidRDefault="00400B7C" w:rsidP="00400B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 знань студентів з навчальної дисципліни здійснюється на підставі проведення семестрового екзамену. Умовою допуску до екзамену є виконання усіх видів навчальної роботи, передбачених робочою програмою дисципліни.</w:t>
            </w:r>
          </w:p>
          <w:p w:rsidR="00400B7C" w:rsidRPr="00400B7C" w:rsidRDefault="00400B7C" w:rsidP="00400B7C">
            <w:pPr>
              <w:shd w:val="clear" w:color="auto" w:fill="FFFFFF"/>
              <w:tabs>
                <w:tab w:val="left" w:pos="-48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>Складання екзамену є обов’язковим елементом підсумкового контролю знань для студентів, які претендують на оцінку «добре» або «відмінно». Якщо студент виконав всі види робіт протягом семестру та набрав 60% підсумкової оцінки (тобто «задовільно»), то він, за бажанням, може залишити набрану кількість балів як підсумкову оцінку і не складати екзамен.</w:t>
            </w:r>
          </w:p>
          <w:p w:rsidR="00400B7C" w:rsidRPr="00400B7C" w:rsidRDefault="00400B7C" w:rsidP="00A11772">
            <w:pPr>
              <w:shd w:val="clear" w:color="auto" w:fill="FFFFFF"/>
              <w:tabs>
                <w:tab w:val="left" w:pos="-48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0B7C">
              <w:rPr>
                <w:rFonts w:ascii="Times New Roman" w:hAnsi="Times New Roman" w:cs="Times New Roman"/>
                <w:sz w:val="28"/>
                <w:szCs w:val="28"/>
              </w:rPr>
              <w:t xml:space="preserve">У випадку, якщо студент протягом семестру не виконав у повному обсязі передбачені робочою </w:t>
            </w:r>
            <w:r w:rsidRPr="00400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програмою навчальної дисципліни  види навчальної роботи, має невиконані завдання проміжного контролю знань, невідпрацьовані семінарські заняття тощо або не набрав мінімально необхідну кількість балів – 20 балів </w:t>
            </w:r>
            <w:r w:rsidRPr="00400B7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(тобто кількість балів, яка сумарно з максимально можливою кількістю балів, які студент може отримати під час семестрового контролю не дозволить отримати підсумкову оцінку «задовільно – Е, 60 балів»), </w:t>
            </w:r>
            <w:r w:rsidR="00A11772" w:rsidRPr="00A117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 він не допускається до складання заліку у під час семестрового контролю, але має право ліквідувати академічну заборгованість у порядку передбаченому «Положенням про поточне та підсумкове оцінювання знань здобувачів вищої освіти Національного університету «Чернігівська політехніка»».</w:t>
            </w:r>
          </w:p>
        </w:tc>
      </w:tr>
    </w:tbl>
    <w:p w:rsidR="00400B7C" w:rsidRDefault="00400B7C" w:rsidP="0063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B7C" w:rsidRDefault="00400B7C" w:rsidP="0063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7. Політики курсу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  <w:gridCol w:w="7555"/>
      </w:tblGrid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академічної доброчесності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Весь освітній процес повинен базуватися на академічній доброчесності.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Що передбачає: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- посилання на джерела інформації у разі використання ідей, розробок, тверджень, відомостей;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дотримання норм законодавства про авторське право і суміжні права; - надання достовірної інформації про результати власної навчальної (наукової, творчої) діяльності, використані методики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>досліджень і джерела інформації відповідно до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Кодексу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академічної доброчесності НУ «Чернігівська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https://stu.cn.ua/wp-content/uploads/2021/06/kodeks-akademichnoyi-dobrochesnosti-nova-redakcziya.pdf</w:t>
              </w:r>
            </w:hyperlink>
          </w:p>
          <w:p w:rsidR="00B37C6F" w:rsidRDefault="00B37C6F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Списування під час контрольних робіт та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заліків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заборонені (в т.ч. із використанням мобільних девайсів)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відповідно до Правил внутрішнього розпорядку в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 </w:t>
            </w:r>
            <w:hyperlink r:id="rId17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https://stu.cn.ua/wp-content/uploads/2021/03/pravila-vn-rozp.pdf</w:t>
              </w:r>
            </w:hyperlink>
          </w:p>
          <w:p w:rsidR="00D92E35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порушення академічної доброчесності є: - академічний плагіат; -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самоплагіат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фабрикація; - фальсифікація; - списування; - обман; - хабарництво; - необ’єктивне оцінювання</w:t>
            </w:r>
            <w:r w:rsidR="00E12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6FF" w:rsidRPr="00D92E35" w:rsidRDefault="00E126FF" w:rsidP="00B37C6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залежить від дотримання принципів академічної доброчесності, а саме бали можуть бути анульовані або знижені за порушення.</w:t>
            </w:r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перезарахування</w:t>
            </w:r>
            <w:proofErr w:type="spellEnd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кредитів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D92E35" w:rsidRDefault="00D92E35" w:rsidP="00B37C6F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у випадку мобільності, правила перескладання або відпрацювання пропущених занять тощо: відбувається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згідно з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C6F"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академічну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мобільність  учасників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освітнього процесу НУ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дедлайнів та перескладання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B37C6F" w:rsidRDefault="00B37C6F" w:rsidP="00B37C6F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поважних причин, оцінюються на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нижчу  оцінку.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Перескладання модулів відбувається із дозволу лектора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наявності поважних причин (наприклад, лікарняний).</w:t>
            </w:r>
          </w:p>
          <w:p w:rsidR="004810B6" w:rsidRPr="00D92E35" w:rsidRDefault="00B37C6F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Порядок ліквідації академічної заборгованості прописано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 Положенні про поточне та підсумкове оцінювання знань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 НУ «Чернігівська політехніка»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4810B6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відвідування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обов’язковим. За об’єктивних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причин (наприклад, хвороба, міжнародне стажування)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навчання може відбуватись індивідуально (в онлайн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 погодженням із дирекцією інституту).</w:t>
            </w:r>
          </w:p>
          <w:p w:rsid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Здобувач вищої освіти, який має більше 30% пропусків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навчальних занять (без поважних причин) від загального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обсягу аудиторних годин відповідної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дисципліни згідно з індивідуальним начальним планом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допускається до складання екзамену (диференційованого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заліку) під час семестрового контролю, але має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ліквідува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академічну  заборгованість у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порядку,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передбаченому Положенням про поточне та підсумкове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оцінювання знань здобувачів вищої освіти Національного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Вільне відвідування занять здобувачам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вищої освіти Університету дозволяється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метою створення умов для навчання ЗВО, які не 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відвідувати навчальні заняття з поважних причин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діючим розкладом. До поважних причин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випадки, підтверджені відповідними документами, а саме:</w:t>
            </w:r>
          </w:p>
          <w:p w:rsidR="004810B6" w:rsidRPr="00D92E35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зі спортивною та (або) громадською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діяльністю, наявність дітей віком до 3-х років, вагітність,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 роботою за фахом, дуальне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(у разі його запровадження для окремих здобувачів вищої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51C">
              <w:rPr>
                <w:rFonts w:ascii="Times New Roman" w:hAnsi="Times New Roman" w:cs="Times New Roman"/>
                <w:sz w:val="28"/>
                <w:szCs w:val="28"/>
              </w:rPr>
              <w:t>освіти), інші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випадки. Вільне відвідування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організовується відповідно Порядку надання дозволу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 вищої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«Чернігівська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https://stu.cn.ua/wp-content/uploads/2021/03/p-vilne-vid.pdf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Політика оскарження результатів контрольних заходів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D92E35" w:rsidRDefault="00D92E35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Для вирішення спірних питань, пов’язаних із організацією та проведенням семестрового контролю, оцінювання практик, атестації та визнанні результатів навчання в неформальній та/або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інформальній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на факультеті створюється апеляційна комісія розпорядженням декана, до складу якої включаються, завідувачі кафедр, науково-педагогічні працівники та представники органів студентського самоврядування. Головою апеляційної комісії призначається декан.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подання та розгляду апеляцій визначається відповідно до р.7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Положення про поточне та підсумкове оцінювання знань здобувачів вищої освіти Національного університету «Чернігівська політехніка»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2" w:history="1">
              <w:r w:rsidR="004810B6" w:rsidRPr="00681583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Консультації стосовно незрозумілих питань, перевірки виконання самостійних завдань або відпрацювання занять проводяться викладачем відповідно до графіка.</w:t>
            </w:r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Здобувачам вищої освіти пропонуються: 1) питання з відкритим типом відповіді, вирішення яких потребує критичного мислення шляхом колективного обговорення; 2) завдання із спеціально здійсненою помилкою у вихідних даних або ході рішення. Робота в групах передбачає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помилки та пояснення її впливу на результати; 3) ситуаційні завдання та кейси дл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я обговорення і вирішення, які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потребують групової взаємодії, критичного мислення, креативності та спрямовані на формування комунікаційних навичок.</w:t>
            </w:r>
          </w:p>
        </w:tc>
      </w:tr>
    </w:tbl>
    <w:p w:rsidR="00D92E35" w:rsidRPr="00D92E35" w:rsidRDefault="00D92E35" w:rsidP="00D92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8. Рекомендована література</w:t>
      </w:r>
    </w:p>
    <w:p w:rsidR="00256116" w:rsidRPr="00B436AD" w:rsidRDefault="00256116" w:rsidP="00B436AD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Експертизи у кримінальному провадженні</w:t>
      </w:r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наук.-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/ за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ред.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А.В.Столітнього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. - К. : Норма права, 2020. - 308 с.</w:t>
      </w:r>
    </w:p>
    <w:p w:rsidR="00256116" w:rsidRPr="00B436AD" w:rsidRDefault="00256116" w:rsidP="00B436AD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Експертизи у судочинстві України : наук.-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/ за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ред. В. Г. Гончаренка, I. В. Гори. - К. : Юрінком Інтер, 2015. - 504 с.</w:t>
      </w:r>
    </w:p>
    <w:p w:rsidR="00256116" w:rsidRPr="00B436AD" w:rsidRDefault="00256116" w:rsidP="00B436AD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Проведення та використання судових експертиз у кримінальному провадженні : монографія / М. Г. </w:t>
      </w:r>
      <w:proofErr w:type="spellStart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Щербаковський</w:t>
      </w:r>
      <w:proofErr w:type="spellEnd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–Харків : В </w:t>
      </w:r>
      <w:proofErr w:type="spellStart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деле</w:t>
      </w:r>
      <w:proofErr w:type="spellEnd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2015. – 560 с.</w:t>
      </w:r>
    </w:p>
    <w:p w:rsidR="00256116" w:rsidRPr="00B436AD" w:rsidRDefault="00256116" w:rsidP="00B436AD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Судова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експертологія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підруч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підгот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здобувачів освіт. ступеня «магістр» за спец. 081 «Право» та 262 «Правоохоронна діяльність» / В. М.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Тертишник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В.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Варава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В.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Сачко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за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ред. В. М. </w:t>
      </w:r>
      <w:proofErr w:type="spellStart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Тертишника</w:t>
      </w:r>
      <w:proofErr w:type="spellEnd"/>
      <w:r w:rsidRPr="00B436A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Харків : Право, 2021. – 280 с</w:t>
      </w:r>
    </w:p>
    <w:p w:rsidR="00256116" w:rsidRPr="00B436AD" w:rsidRDefault="00256116" w:rsidP="00B436AD">
      <w:pPr>
        <w:numPr>
          <w:ilvl w:val="0"/>
          <w:numId w:val="23"/>
        </w:numPr>
        <w:tabs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Судові експертизи в процесуальному праві України: </w:t>
      </w:r>
      <w:proofErr w:type="spellStart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навч.посібник</w:t>
      </w:r>
      <w:proofErr w:type="spellEnd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за </w:t>
      </w:r>
      <w:proofErr w:type="spellStart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</w:t>
      </w:r>
      <w:proofErr w:type="spellEnd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ред. </w:t>
      </w:r>
      <w:proofErr w:type="spellStart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Н.В.Нестор</w:t>
      </w:r>
      <w:proofErr w:type="spellEnd"/>
      <w:r w:rsidRPr="00B436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Київ: Вид-во Ліра-К, 2021. – 276 с.</w:t>
      </w:r>
    </w:p>
    <w:p w:rsidR="00582D93" w:rsidRDefault="00582D93" w:rsidP="00B436AD">
      <w:pPr>
        <w:pStyle w:val="af4"/>
        <w:tabs>
          <w:tab w:val="left" w:pos="426"/>
        </w:tabs>
        <w:spacing w:after="0" w:line="240" w:lineRule="auto"/>
        <w:ind w:left="426"/>
        <w:jc w:val="both"/>
      </w:pPr>
    </w:p>
    <w:sectPr w:rsidR="00582D93" w:rsidSect="00C62495">
      <w:type w:val="continuous"/>
      <w:pgSz w:w="11906" w:h="16838"/>
      <w:pgMar w:top="139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D9" w:rsidRDefault="00F308D9" w:rsidP="00AC4E84">
      <w:pPr>
        <w:spacing w:after="0" w:line="240" w:lineRule="auto"/>
      </w:pPr>
      <w:r>
        <w:separator/>
      </w:r>
    </w:p>
  </w:endnote>
  <w:endnote w:type="continuationSeparator" w:id="0">
    <w:p w:rsidR="00F308D9" w:rsidRDefault="00F308D9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D9" w:rsidRDefault="00F308D9" w:rsidP="00AC4E84">
      <w:pPr>
        <w:spacing w:after="0" w:line="240" w:lineRule="auto"/>
      </w:pPr>
      <w:r>
        <w:separator/>
      </w:r>
    </w:p>
  </w:footnote>
  <w:footnote w:type="continuationSeparator" w:id="0">
    <w:p w:rsidR="00F308D9" w:rsidRDefault="00F308D9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84" w:rsidRPr="009A52A8" w:rsidRDefault="004A21DD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190537A" wp14:editId="28DF5EAA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2" cy="10640178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2" cy="1064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A8" w:rsidRPr="009A52A8">
      <w:rPr>
        <w:rFonts w:ascii="Times New Roman" w:hAnsi="Times New Roman" w:cs="Times New Roman"/>
      </w:rPr>
      <w:t>КАФЕДРА ПРАВООХОРОННОЇ ДІЯЛЬНОСТІ ТА ЗАГАЛЬНОПРАВОВИХ ДИСЦИПЛІН</w:t>
    </w:r>
  </w:p>
  <w:p w:rsidR="009A52A8" w:rsidRPr="009A52A8" w:rsidRDefault="009A52A8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</w:rPr>
      <w:t>НАЦІОНАЛЬНИЙ УНІВЕРСИТЕТ «ЧЕРНІГІВСЬКА ПОЛІТЕХНІКА»</w:t>
    </w:r>
  </w:p>
  <w:p w:rsidR="00AC4E84" w:rsidRDefault="00AC4E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F0"/>
    <w:multiLevelType w:val="hybridMultilevel"/>
    <w:tmpl w:val="8DF22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C81821"/>
    <w:multiLevelType w:val="hybridMultilevel"/>
    <w:tmpl w:val="B038E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494E"/>
    <w:multiLevelType w:val="hybridMultilevel"/>
    <w:tmpl w:val="4B2C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7D8C"/>
    <w:multiLevelType w:val="hybridMultilevel"/>
    <w:tmpl w:val="6DA0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4B90"/>
    <w:multiLevelType w:val="hybridMultilevel"/>
    <w:tmpl w:val="2C145556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03DD"/>
    <w:multiLevelType w:val="hybridMultilevel"/>
    <w:tmpl w:val="E15AD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2EB"/>
    <w:multiLevelType w:val="hybridMultilevel"/>
    <w:tmpl w:val="EE56F2C6"/>
    <w:lvl w:ilvl="0" w:tplc="B1989730">
      <w:start w:val="1"/>
      <w:numFmt w:val="decimal"/>
      <w:lvlText w:val="%1."/>
      <w:lvlJc w:val="left"/>
      <w:pPr>
        <w:ind w:left="181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20F98"/>
    <w:multiLevelType w:val="hybridMultilevel"/>
    <w:tmpl w:val="DFC8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56E"/>
    <w:multiLevelType w:val="hybridMultilevel"/>
    <w:tmpl w:val="87B49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BF350B"/>
    <w:multiLevelType w:val="hybridMultilevel"/>
    <w:tmpl w:val="4DBC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11A7"/>
    <w:multiLevelType w:val="hybridMultilevel"/>
    <w:tmpl w:val="DB10A062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463"/>
    <w:multiLevelType w:val="hybridMultilevel"/>
    <w:tmpl w:val="D776612C"/>
    <w:lvl w:ilvl="0" w:tplc="D3120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B767D"/>
    <w:multiLevelType w:val="hybridMultilevel"/>
    <w:tmpl w:val="E37A5572"/>
    <w:lvl w:ilvl="0" w:tplc="A7D89A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3" w15:restartNumberingAfterBreak="0">
    <w:nsid w:val="598E6143"/>
    <w:multiLevelType w:val="hybridMultilevel"/>
    <w:tmpl w:val="493619E2"/>
    <w:lvl w:ilvl="0" w:tplc="B1989730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19D0"/>
    <w:multiLevelType w:val="hybridMultilevel"/>
    <w:tmpl w:val="87900940"/>
    <w:lvl w:ilvl="0" w:tplc="176E31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80A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F207A7"/>
    <w:multiLevelType w:val="hybridMultilevel"/>
    <w:tmpl w:val="1C9A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251A7"/>
    <w:multiLevelType w:val="hybridMultilevel"/>
    <w:tmpl w:val="8882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AF2"/>
    <w:multiLevelType w:val="hybridMultilevel"/>
    <w:tmpl w:val="78E0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9852D88"/>
    <w:multiLevelType w:val="hybridMultilevel"/>
    <w:tmpl w:val="5122DD64"/>
    <w:lvl w:ilvl="0" w:tplc="3D7C46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84"/>
    <w:rsid w:val="000209C0"/>
    <w:rsid w:val="00045F46"/>
    <w:rsid w:val="0009023A"/>
    <w:rsid w:val="000C7A49"/>
    <w:rsid w:val="001557F8"/>
    <w:rsid w:val="00170039"/>
    <w:rsid w:val="001710C9"/>
    <w:rsid w:val="00256116"/>
    <w:rsid w:val="00263D4F"/>
    <w:rsid w:val="00287F38"/>
    <w:rsid w:val="002B2921"/>
    <w:rsid w:val="00312B93"/>
    <w:rsid w:val="00386796"/>
    <w:rsid w:val="003A751C"/>
    <w:rsid w:val="003C17D4"/>
    <w:rsid w:val="003E4BE6"/>
    <w:rsid w:val="00400B7C"/>
    <w:rsid w:val="00455FA2"/>
    <w:rsid w:val="00474EFB"/>
    <w:rsid w:val="004778CE"/>
    <w:rsid w:val="004810B6"/>
    <w:rsid w:val="0048408C"/>
    <w:rsid w:val="004A21DD"/>
    <w:rsid w:val="004B2E7B"/>
    <w:rsid w:val="004B5BFD"/>
    <w:rsid w:val="004C00D8"/>
    <w:rsid w:val="004D4B38"/>
    <w:rsid w:val="004E7F91"/>
    <w:rsid w:val="00506017"/>
    <w:rsid w:val="00526D9E"/>
    <w:rsid w:val="0052767B"/>
    <w:rsid w:val="005360BD"/>
    <w:rsid w:val="00582D93"/>
    <w:rsid w:val="00591745"/>
    <w:rsid w:val="005B4297"/>
    <w:rsid w:val="005D4DA0"/>
    <w:rsid w:val="00607EEF"/>
    <w:rsid w:val="0061223B"/>
    <w:rsid w:val="00630424"/>
    <w:rsid w:val="0064527E"/>
    <w:rsid w:val="00683F95"/>
    <w:rsid w:val="006C0130"/>
    <w:rsid w:val="006C0F5A"/>
    <w:rsid w:val="00723EAC"/>
    <w:rsid w:val="00754E9F"/>
    <w:rsid w:val="00770690"/>
    <w:rsid w:val="0083148B"/>
    <w:rsid w:val="008548FF"/>
    <w:rsid w:val="00875797"/>
    <w:rsid w:val="008A203D"/>
    <w:rsid w:val="008A363A"/>
    <w:rsid w:val="008B74A8"/>
    <w:rsid w:val="008C476A"/>
    <w:rsid w:val="008F7633"/>
    <w:rsid w:val="0092202A"/>
    <w:rsid w:val="00963F5D"/>
    <w:rsid w:val="00972DD8"/>
    <w:rsid w:val="009A52A8"/>
    <w:rsid w:val="009D3EFC"/>
    <w:rsid w:val="009E047C"/>
    <w:rsid w:val="00A01F15"/>
    <w:rsid w:val="00A03FEA"/>
    <w:rsid w:val="00A0642E"/>
    <w:rsid w:val="00A11772"/>
    <w:rsid w:val="00AA0600"/>
    <w:rsid w:val="00AC4E84"/>
    <w:rsid w:val="00AE4CD9"/>
    <w:rsid w:val="00B13620"/>
    <w:rsid w:val="00B37C6F"/>
    <w:rsid w:val="00B436AD"/>
    <w:rsid w:val="00B67FC2"/>
    <w:rsid w:val="00BB5857"/>
    <w:rsid w:val="00BC5EC6"/>
    <w:rsid w:val="00BD0C13"/>
    <w:rsid w:val="00BE126B"/>
    <w:rsid w:val="00C45362"/>
    <w:rsid w:val="00C62495"/>
    <w:rsid w:val="00C65A6D"/>
    <w:rsid w:val="00CB4432"/>
    <w:rsid w:val="00CC58D4"/>
    <w:rsid w:val="00CC7A50"/>
    <w:rsid w:val="00CE0F37"/>
    <w:rsid w:val="00D26246"/>
    <w:rsid w:val="00D806C9"/>
    <w:rsid w:val="00D92E35"/>
    <w:rsid w:val="00DA0BF7"/>
    <w:rsid w:val="00DC6396"/>
    <w:rsid w:val="00E01810"/>
    <w:rsid w:val="00E126FF"/>
    <w:rsid w:val="00E204E1"/>
    <w:rsid w:val="00E56091"/>
    <w:rsid w:val="00F162EE"/>
    <w:rsid w:val="00F308D9"/>
    <w:rsid w:val="00F41124"/>
    <w:rsid w:val="00F65EC9"/>
    <w:rsid w:val="00FC7470"/>
    <w:rsid w:val="00FE0EE7"/>
    <w:rsid w:val="00FE70D9"/>
    <w:rsid w:val="00FF404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47226-E9EA-46A4-8163-A75E5A3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2E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2E3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2E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2E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92E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2E3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92E3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2E3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Calibri" w:hAnsi="Times New Roman" w:cs="Times New Roman"/>
      <w:caps/>
      <w:sz w:val="40"/>
      <w:szCs w:val="4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2E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customStyle="1" w:styleId="TableParagraph">
    <w:name w:val="Table Paragraph"/>
    <w:basedOn w:val="a"/>
    <w:uiPriority w:val="1"/>
    <w:qFormat/>
    <w:rsid w:val="00E2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2E3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2E3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92E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2E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92E35"/>
    <w:rPr>
      <w:rFonts w:ascii="Times New Roman" w:eastAsia="Calibri" w:hAnsi="Times New Roman" w:cs="Times New Roman"/>
      <w:caps/>
      <w:sz w:val="40"/>
      <w:szCs w:val="4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92E35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2E3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D92E35"/>
  </w:style>
  <w:style w:type="table" w:styleId="aa">
    <w:name w:val="Table Grid"/>
    <w:basedOn w:val="a1"/>
    <w:uiPriority w:val="59"/>
    <w:rsid w:val="00D92E35"/>
    <w:pPr>
      <w:spacing w:after="0" w:line="240" w:lineRule="auto"/>
    </w:pPr>
    <w:rPr>
      <w:rFonts w:ascii="Arial" w:eastAsia="Arial" w:hAnsi="Arial" w:cs="Arial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C6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10B6"/>
    <w:rPr>
      <w:color w:val="954F72" w:themeColor="followedHyperlink"/>
      <w:u w:val="single"/>
    </w:rPr>
  </w:style>
  <w:style w:type="paragraph" w:styleId="ad">
    <w:name w:val="Title"/>
    <w:basedOn w:val="a"/>
    <w:link w:val="ae"/>
    <w:uiPriority w:val="99"/>
    <w:qFormat/>
    <w:rsid w:val="00C62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 Знак"/>
    <w:basedOn w:val="a0"/>
    <w:link w:val="ad"/>
    <w:uiPriority w:val="99"/>
    <w:rsid w:val="00C6249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C624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ий текст з відступом Знак"/>
    <w:basedOn w:val="a0"/>
    <w:link w:val="af"/>
    <w:semiHidden/>
    <w:rsid w:val="00C6249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1">
    <w:name w:val="Subtitle"/>
    <w:basedOn w:val="a"/>
    <w:link w:val="af2"/>
    <w:qFormat/>
    <w:rsid w:val="00C62495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x-none"/>
    </w:rPr>
  </w:style>
  <w:style w:type="character" w:customStyle="1" w:styleId="af2">
    <w:name w:val="Підзаголовок Знак"/>
    <w:basedOn w:val="a0"/>
    <w:link w:val="af1"/>
    <w:rsid w:val="00C6249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x-none"/>
    </w:rPr>
  </w:style>
  <w:style w:type="character" w:styleId="af3">
    <w:name w:val="Emphasis"/>
    <w:basedOn w:val="a0"/>
    <w:uiPriority w:val="20"/>
    <w:qFormat/>
    <w:rsid w:val="008F7633"/>
    <w:rPr>
      <w:i/>
      <w:iCs/>
    </w:rPr>
  </w:style>
  <w:style w:type="paragraph" w:customStyle="1" w:styleId="Default">
    <w:name w:val="Default"/>
    <w:rsid w:val="00A0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rsid w:val="00A01F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f4">
    <w:name w:val="Body Text"/>
    <w:basedOn w:val="a"/>
    <w:link w:val="af5"/>
    <w:uiPriority w:val="99"/>
    <w:unhideWhenUsed/>
    <w:rsid w:val="00A11772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rsid w:val="00A1177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tu.cn.ua/wp-content/uploads/2021/04/polozhennya-pro-akademichnu-mobilnist-uchasnykiv-osvitnogo-proczes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.cn.ua/wp-content/uploads/2021/03/p-vilne-vid.pd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stu.cn.ua/wp-content/uploads/2021/03/pravila-vn-roz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.cn.ua/wp-content/uploads/2021/06/kodeks-akademichnoyi-dobrochesnosti-nova-redakcziya.pdf" TargetMode="External"/><Relationship Id="rId20" Type="http://schemas.openxmlformats.org/officeDocument/2006/relationships/hyperlink" Target="https://stu.cn.ua/wp-content/uploads/2021/04/polozhennya-pro-potochne-ta-pidsumkove-oczinyuvannya-znan-zdobuvachiv-vyshhoyi-osvity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n.stu.cn.ua/course/view.php?id=437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stu.cn.ua/wp-content/uploads/2021/04/polozhennya-pro-potochne-ta-pidsumkove-oczinyuvannya-znan-zdobuvachiv-vyshhoyi-osvity-1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dp.stu.cn.ua/chernenok-maksym-petrovych/" TargetMode="External"/><Relationship Id="rId22" Type="http://schemas.openxmlformats.org/officeDocument/2006/relationships/hyperlink" Target="https://stu.cn.ua/wp-content/uploads/2021/04/polozhennya-pro-potochne-ta-pidsumkove-oczinyuvannya-znan-zdobuvachiv-vyshhoyi-osvity-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elena_8067@ukr.net</cp:lastModifiedBy>
  <cp:revision>17</cp:revision>
  <dcterms:created xsi:type="dcterms:W3CDTF">2017-01-27T11:41:00Z</dcterms:created>
  <dcterms:modified xsi:type="dcterms:W3CDTF">2023-02-23T12:51:00Z</dcterms:modified>
</cp:coreProperties>
</file>